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仿宋" w:eastAsia="黑体"/>
          <w:sz w:val="36"/>
          <w:szCs w:val="36"/>
        </w:rPr>
      </w:pPr>
      <w:bookmarkStart w:id="0" w:name="_GoBack"/>
      <w:r>
        <w:rPr>
          <w:rFonts w:hint="eastAsia" w:ascii="黑体" w:hAnsi="仿宋" w:eastAsia="黑体"/>
          <w:sz w:val="36"/>
          <w:szCs w:val="36"/>
        </w:rPr>
        <w:t>201</w:t>
      </w:r>
      <w:r>
        <w:rPr>
          <w:rFonts w:hint="eastAsia" w:ascii="黑体" w:hAnsi="仿宋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仿宋" w:eastAsia="黑体"/>
          <w:sz w:val="36"/>
          <w:szCs w:val="36"/>
        </w:rPr>
        <w:t>年度中国民主建国会湖北省委员会</w:t>
      </w:r>
    </w:p>
    <w:p>
      <w:pPr>
        <w:widowControl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整体支出绩效自评表</w:t>
      </w:r>
    </w:p>
    <w:bookmarkEnd w:id="0"/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ascii="楷体_GB2312" w:hAnsi="宋体" w:eastAsia="楷体_GB2312" w:cs="宋体"/>
          <w:kern w:val="0"/>
          <w:sz w:val="24"/>
          <w:szCs w:val="20"/>
        </w:rPr>
        <w:t>20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</w:t>
      </w:r>
      <w:r>
        <w:rPr>
          <w:rFonts w:ascii="楷体_GB2312" w:hAnsi="宋体" w:eastAsia="楷体_GB2312" w:cs="宋体"/>
          <w:kern w:val="0"/>
          <w:sz w:val="24"/>
          <w:szCs w:val="20"/>
        </w:rPr>
        <w:t>年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6</w:t>
      </w:r>
      <w:r>
        <w:rPr>
          <w:rFonts w:ascii="楷体_GB2312" w:hAnsi="宋体" w:eastAsia="楷体_GB2312" w:cs="宋体"/>
          <w:kern w:val="0"/>
          <w:sz w:val="24"/>
          <w:szCs w:val="20"/>
        </w:rPr>
        <w:t>月2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4"/>
          <w:szCs w:val="20"/>
        </w:rPr>
        <w:t>日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总分：9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4.47</w:t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分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02"/>
        <w:gridCol w:w="2080"/>
        <w:gridCol w:w="1487"/>
        <w:gridCol w:w="1265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175" w:type="pct"/>
            <w:gridSpan w:val="5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中国民主建国会湖北省委员会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基本支出总额</w:t>
            </w:r>
          </w:p>
        </w:tc>
        <w:tc>
          <w:tcPr>
            <w:tcW w:w="1936" w:type="pct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679.24</w:t>
            </w:r>
          </w:p>
        </w:tc>
        <w:tc>
          <w:tcPr>
            <w:tcW w:w="877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项目支出总额</w:t>
            </w:r>
          </w:p>
        </w:tc>
        <w:tc>
          <w:tcPr>
            <w:tcW w:w="1361" w:type="pct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127（含不可预见费）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09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6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877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执行数（B)</w:t>
            </w:r>
          </w:p>
        </w:tc>
        <w:tc>
          <w:tcPr>
            <w:tcW w:w="746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执行率(A/B)</w:t>
            </w:r>
          </w:p>
        </w:tc>
        <w:tc>
          <w:tcPr>
            <w:tcW w:w="615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部门整体支出总额</w:t>
            </w:r>
          </w:p>
        </w:tc>
        <w:tc>
          <w:tcPr>
            <w:tcW w:w="1226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803.12</w:t>
            </w:r>
          </w:p>
        </w:tc>
        <w:tc>
          <w:tcPr>
            <w:tcW w:w="877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806.24</w:t>
            </w:r>
          </w:p>
        </w:tc>
        <w:tc>
          <w:tcPr>
            <w:tcW w:w="746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100.39</w:t>
            </w:r>
          </w:p>
        </w:tc>
        <w:tc>
          <w:tcPr>
            <w:tcW w:w="615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09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26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77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年初目标值</w:t>
            </w:r>
          </w:p>
        </w:tc>
        <w:tc>
          <w:tcPr>
            <w:tcW w:w="746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615" w:type="pc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目标1（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分）：加强思想建设，通过宣传工作扩大湖北民建的影响。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restar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编印《湖北民讯》期数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6期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6期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参政党理论研究出成果篇数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参政党理论研究论文获奖篇数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目标2（20分）：调研课题出成果，履行参政议政职能。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restar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调研课题数量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</w:rPr>
              <w:t>个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7个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收集社情民意信息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</w:rPr>
              <w:t>50篇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篇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调研成果被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省领导</w:t>
            </w:r>
            <w:r>
              <w:rPr>
                <w:rFonts w:hint="eastAsia" w:ascii="仿宋_GB2312" w:eastAsia="仿宋_GB2312"/>
                <w:color w:val="000000"/>
              </w:rPr>
              <w:t>批示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或督办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≧2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协商类会议发言数</w:t>
            </w:r>
            <w:r>
              <w:rPr>
                <w:rFonts w:hint="eastAsia" w:ascii="仿宋_GB2312" w:eastAsia="仿宋_GB2312"/>
                <w:color w:val="000000"/>
              </w:rPr>
              <w:t>量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</w:rPr>
              <w:t>≧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目标3（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分）：加强组织建设，保持会员持续稳定增长。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维持会员增长率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4%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6" w:type="dxa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02" w:type="dxa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代表性人士增长率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5%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3.99%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　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6.6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目标4（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分）：尽力而为，积极做好社会服务工作。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restar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精准扶贫点油榨村年产值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000000"/>
              </w:rPr>
              <w:t>万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万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ind w:right="100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举办企业家行业交流次数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2次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2次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ind w:right="100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促成会内企业家合作意向次数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4次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次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加强机关建设，完成全年目标责任制管理考核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restar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目标责任制管理考核各项指标完成率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100%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100%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pct"/>
            <w:vMerge w:val="continue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目标责任制考核评分</w:t>
            </w:r>
          </w:p>
        </w:tc>
        <w:tc>
          <w:tcPr>
            <w:tcW w:w="877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hint="default" w:ascii="仿宋_GB2312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≧</w:t>
            </w:r>
            <w:r>
              <w:rPr>
                <w:rFonts w:hint="eastAsia"/>
                <w:color w:val="000000"/>
                <w:lang w:val="en-US" w:eastAsia="zh-CN"/>
              </w:rPr>
              <w:t>100分</w:t>
            </w:r>
          </w:p>
        </w:tc>
        <w:tc>
          <w:tcPr>
            <w:tcW w:w="74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≧</w:t>
            </w:r>
            <w:r>
              <w:rPr>
                <w:rFonts w:hint="eastAsia"/>
                <w:color w:val="000000"/>
                <w:lang w:val="en-US" w:eastAsia="zh-CN"/>
              </w:rPr>
              <w:t>100分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24" w:type="pct"/>
            <w:shd w:val="clear" w:color="auto" w:fill="auto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约束性指标</w:t>
            </w:r>
          </w:p>
        </w:tc>
        <w:tc>
          <w:tcPr>
            <w:tcW w:w="709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1226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资金管理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合规性</w:t>
            </w:r>
          </w:p>
        </w:tc>
        <w:tc>
          <w:tcPr>
            <w:tcW w:w="1623" w:type="pct"/>
            <w:gridSpan w:val="2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不设权重，酌情扣分，如出现审计等部门重点披露的问题，或造成重大不良社会影响，评价总得分不得超过70分。</w:t>
            </w:r>
          </w:p>
        </w:tc>
        <w:tc>
          <w:tcPr>
            <w:tcW w:w="615" w:type="pct"/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5000" w:type="pct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4.基于经济性和必要性等因素考虑，满意度指标暂可不作为必评指标。约束性指标以负数记分。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A0A08"/>
    <w:rsid w:val="3F8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2020-06-30T00:32:00Z</dcterms:created>
  <dc:creator>李紫芒</dc:creator>
  <cp:lastModifiedBy>李紫芒</cp:lastModifiedBy>
  <dcterms:modified xsi:type="dcterms:W3CDTF">2020-06-30T00:33:15Z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